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BF" w:rsidRPr="00F84826" w:rsidRDefault="00F8482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</w:t>
      </w:r>
    </w:p>
    <w:p w:rsidR="00FA0201" w:rsidRPr="00F84826" w:rsidRDefault="00F8482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</w:t>
      </w:r>
    </w:p>
    <w:p w:rsidR="00FA0201" w:rsidRPr="00FA0201" w:rsidRDefault="00FA0201">
      <w:pPr>
        <w:rPr>
          <w:rFonts w:ascii="Times New Roman" w:hAnsi="Times New Roman" w:cs="Times New Roman"/>
          <w:sz w:val="24"/>
          <w:szCs w:val="24"/>
        </w:rPr>
      </w:pPr>
    </w:p>
    <w:p w:rsidR="00FA0201" w:rsidRPr="00FA0201" w:rsidRDefault="00FA0201">
      <w:pPr>
        <w:rPr>
          <w:rFonts w:ascii="Times New Roman" w:hAnsi="Times New Roman" w:cs="Times New Roman"/>
          <w:sz w:val="24"/>
          <w:szCs w:val="24"/>
        </w:rPr>
      </w:pPr>
      <w:r w:rsidRPr="00FA0201">
        <w:rPr>
          <w:rFonts w:ascii="Times New Roman" w:hAnsi="Times New Roman" w:cs="Times New Roman"/>
          <w:sz w:val="24"/>
          <w:szCs w:val="24"/>
        </w:rPr>
        <w:t>ПРЕДЕМ</w:t>
      </w:r>
      <w:r w:rsidR="00F8482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A0201">
        <w:rPr>
          <w:rFonts w:ascii="Times New Roman" w:hAnsi="Times New Roman" w:cs="Times New Roman"/>
          <w:sz w:val="24"/>
          <w:szCs w:val="24"/>
        </w:rPr>
        <w:t>Т</w:t>
      </w:r>
      <w:r w:rsidR="00F8482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FA0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0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0201">
        <w:rPr>
          <w:rFonts w:ascii="Times New Roman" w:hAnsi="Times New Roman" w:cs="Times New Roman"/>
          <w:sz w:val="24"/>
          <w:szCs w:val="24"/>
        </w:rPr>
        <w:t>рекција</w:t>
      </w:r>
      <w:proofErr w:type="spellEnd"/>
      <w:r w:rsidRPr="00FA0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01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FA0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01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</w:p>
    <w:p w:rsidR="00FA0201" w:rsidRPr="00FA0201" w:rsidRDefault="00FA0201">
      <w:pPr>
        <w:rPr>
          <w:rFonts w:ascii="Times New Roman" w:hAnsi="Times New Roman" w:cs="Times New Roman"/>
          <w:sz w:val="24"/>
          <w:szCs w:val="24"/>
        </w:rPr>
      </w:pPr>
    </w:p>
    <w:p w:rsidR="00FA0201" w:rsidRDefault="00FA0201" w:rsidP="005016A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</w:t>
      </w:r>
      <w:proofErr w:type="spellEnd"/>
      <w:r w:rsidR="00F84826">
        <w:rPr>
          <w:rFonts w:ascii="Times New Roman" w:hAnsi="Times New Roman" w:cs="Times New Roman"/>
          <w:sz w:val="24"/>
          <w:szCs w:val="24"/>
          <w:lang w:val="sr-Cyrl-CS"/>
        </w:rPr>
        <w:t>и од</w:t>
      </w:r>
      <w:proofErr w:type="spellStart"/>
      <w:r>
        <w:rPr>
          <w:rFonts w:ascii="Times New Roman" w:hAnsi="Times New Roman" w:cs="Times New Roman"/>
          <w:sz w:val="24"/>
          <w:szCs w:val="24"/>
        </w:rPr>
        <w:t>ржан</w:t>
      </w:r>
      <w:proofErr w:type="spellEnd"/>
      <w:r w:rsidR="00F84826">
        <w:rPr>
          <w:rFonts w:ascii="Times New Roman" w:hAnsi="Times New Roman" w:cs="Times New Roman"/>
          <w:sz w:val="24"/>
          <w:szCs w:val="24"/>
          <w:lang w:val="sr-Cyrl-CS"/>
        </w:rPr>
        <w:t>ој 14.03.</w:t>
      </w:r>
      <w:proofErr w:type="gramEnd"/>
      <w:r w:rsidR="00F84826">
        <w:rPr>
          <w:rFonts w:ascii="Times New Roman" w:hAnsi="Times New Roman" w:cs="Times New Roman"/>
          <w:sz w:val="24"/>
          <w:szCs w:val="24"/>
          <w:lang w:val="sr-Cyrl-CS"/>
        </w:rPr>
        <w:t xml:space="preserve"> 2018 год.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англистику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01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A7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501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A7">
        <w:rPr>
          <w:rFonts w:ascii="Times New Roman" w:hAnsi="Times New Roman" w:cs="Times New Roman"/>
          <w:sz w:val="24"/>
          <w:szCs w:val="24"/>
        </w:rPr>
        <w:t>дискусије</w:t>
      </w:r>
      <w:proofErr w:type="spellEnd"/>
      <w:r w:rsidR="005016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27FFB">
        <w:rPr>
          <w:rFonts w:ascii="Times New Roman" w:hAnsi="Times New Roman" w:cs="Times New Roman"/>
          <w:sz w:val="24"/>
          <w:szCs w:val="24"/>
        </w:rPr>
        <w:t>пажљивог</w:t>
      </w:r>
      <w:proofErr w:type="spellEnd"/>
      <w:r w:rsidR="0062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7FFB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62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једногласну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англистике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A0201" w:rsidRDefault="00FA0201" w:rsidP="005016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четвртој години, у 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сем</w:t>
      </w:r>
      <w:proofErr w:type="spellEnd"/>
      <w:r w:rsidR="00F84826">
        <w:rPr>
          <w:rFonts w:ascii="Times New Roman" w:hAnsi="Times New Roman" w:cs="Times New Roman"/>
          <w:sz w:val="24"/>
          <w:szCs w:val="24"/>
          <w:lang w:val="sr-Cyrl-CS"/>
        </w:rPr>
        <w:t>е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блоковима Б и В, уједначити број кредита за изборне предмете, тако да сви носе 6 ЕСПБ бодова.</w:t>
      </w:r>
    </w:p>
    <w:p w:rsidR="00F84826" w:rsidRDefault="00F8482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0201" w:rsidRDefault="00F84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УМЕСТО: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8"/>
        <w:gridCol w:w="1982"/>
        <w:gridCol w:w="363"/>
        <w:gridCol w:w="586"/>
        <w:gridCol w:w="1430"/>
        <w:gridCol w:w="935"/>
        <w:gridCol w:w="935"/>
        <w:gridCol w:w="935"/>
        <w:gridCol w:w="894"/>
        <w:gridCol w:w="783"/>
      </w:tblGrid>
      <w:tr w:rsidR="0023495D" w:rsidRPr="0001085D" w:rsidTr="00E169E4">
        <w:trPr>
          <w:cantSplit/>
        </w:trPr>
        <w:tc>
          <w:tcPr>
            <w:tcW w:w="491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8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</w:p>
        </w:tc>
        <w:tc>
          <w:tcPr>
            <w:tcW w:w="1982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Назив предмета </w:t>
            </w:r>
          </w:p>
        </w:tc>
        <w:tc>
          <w:tcPr>
            <w:tcW w:w="363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86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Тип</w:t>
            </w:r>
            <w:proofErr w:type="spellEnd"/>
          </w:p>
        </w:tc>
        <w:tc>
          <w:tcPr>
            <w:tcW w:w="1430" w:type="dxa"/>
            <w:vMerge w:val="restart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05" w:type="dxa"/>
            <w:gridSpan w:val="3"/>
          </w:tcPr>
          <w:p w:rsidR="0023495D" w:rsidRPr="0001085D" w:rsidRDefault="0023495D" w:rsidP="00E16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Часови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активне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Остали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часови</w:t>
            </w:r>
            <w:proofErr w:type="spellEnd"/>
          </w:p>
        </w:tc>
        <w:tc>
          <w:tcPr>
            <w:tcW w:w="78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ЕСПБ</w:t>
            </w:r>
          </w:p>
        </w:tc>
      </w:tr>
      <w:tr w:rsidR="0023495D" w:rsidRPr="0001085D" w:rsidTr="00E169E4">
        <w:trPr>
          <w:cantSplit/>
          <w:trHeight w:val="250"/>
        </w:trPr>
        <w:tc>
          <w:tcPr>
            <w:tcW w:w="491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  <w:vMerge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ДОН</w:t>
            </w: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3495D" w:rsidRPr="0001085D" w:rsidTr="00E169E4">
        <w:trPr>
          <w:trHeight w:val="303"/>
        </w:trPr>
        <w:tc>
          <w:tcPr>
            <w:tcW w:w="9772" w:type="dxa"/>
            <w:gridSpan w:val="11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ЧЕТВРТА ГОДИНА</w:t>
            </w:r>
          </w:p>
        </w:tc>
      </w:tr>
      <w:tr w:rsidR="0023495D" w:rsidRPr="0001085D" w:rsidTr="00E169E4">
        <w:trPr>
          <w:cantSplit/>
        </w:trPr>
        <w:tc>
          <w:tcPr>
            <w:tcW w:w="3860" w:type="dxa"/>
            <w:gridSpan w:val="5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Изборни </w:t>
            </w:r>
          </w:p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блок Б</w:t>
            </w:r>
          </w:p>
        </w:tc>
        <w:tc>
          <w:tcPr>
            <w:tcW w:w="4482" w:type="dxa"/>
            <w:gridSpan w:val="5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Педагогија</w:t>
            </w:r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Истраживања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педагогији</w:t>
            </w:r>
            <w:proofErr w:type="spellEnd"/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Теорије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моралног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васпитања</w:t>
            </w:r>
            <w:proofErr w:type="spellEnd"/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Породична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педагогија</w:t>
            </w:r>
            <w:proofErr w:type="spellEnd"/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6</w:t>
            </w:r>
          </w:p>
        </w:tc>
      </w:tr>
      <w:tr w:rsidR="0023495D" w:rsidRPr="0001085D" w:rsidTr="00E169E4">
        <w:tc>
          <w:tcPr>
            <w:tcW w:w="3860" w:type="dxa"/>
            <w:gridSpan w:val="5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Изборни </w:t>
            </w:r>
          </w:p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Блок В</w:t>
            </w:r>
          </w:p>
        </w:tc>
        <w:tc>
          <w:tcPr>
            <w:tcW w:w="4482" w:type="dxa"/>
            <w:gridSpan w:val="5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Психологија</w:t>
            </w:r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Психологија личности</w:t>
            </w:r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491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8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Невербална комуникација</w:t>
            </w:r>
          </w:p>
        </w:tc>
        <w:tc>
          <w:tcPr>
            <w:tcW w:w="36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23495D" w:rsidRPr="0001085D" w:rsidRDefault="002349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23495D" w:rsidRPr="0001085D" w:rsidTr="00E169E4">
        <w:tc>
          <w:tcPr>
            <w:tcW w:w="5290" w:type="dxa"/>
            <w:gridSpan w:val="6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21-23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23-29</w:t>
            </w:r>
          </w:p>
        </w:tc>
        <w:tc>
          <w:tcPr>
            <w:tcW w:w="935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44-52</w:t>
            </w: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3495D" w:rsidRPr="00F84826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64-70</w:t>
            </w:r>
          </w:p>
        </w:tc>
      </w:tr>
      <w:tr w:rsidR="0023495D" w:rsidRPr="0001085D" w:rsidTr="00E169E4">
        <w:tc>
          <w:tcPr>
            <w:tcW w:w="5290" w:type="dxa"/>
            <w:gridSpan w:val="6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5" w:type="dxa"/>
            <w:gridSpan w:val="3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Укупно часова активне наставе у свим годинама студија  = 204-228</w:t>
            </w:r>
          </w:p>
        </w:tc>
        <w:tc>
          <w:tcPr>
            <w:tcW w:w="894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83" w:type="dxa"/>
          </w:tcPr>
          <w:p w:rsidR="0023495D" w:rsidRPr="0001085D" w:rsidRDefault="002349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</w:p>
        </w:tc>
      </w:tr>
    </w:tbl>
    <w:p w:rsidR="0023495D" w:rsidRDefault="0023495D">
      <w:pPr>
        <w:rPr>
          <w:rFonts w:ascii="Times New Roman" w:hAnsi="Times New Roman" w:cs="Times New Roman"/>
          <w:sz w:val="24"/>
          <w:szCs w:val="24"/>
        </w:rPr>
      </w:pPr>
    </w:p>
    <w:p w:rsidR="005059F1" w:rsidRDefault="00F8482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КОРИГОВАНА СТРУКТУРА СТУДИЈСКОГ ПРОГРАМА ТРЕБА ДА БУДЕ:</w:t>
      </w:r>
    </w:p>
    <w:p w:rsidR="00F84826" w:rsidRDefault="00F8482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8"/>
        <w:gridCol w:w="1982"/>
        <w:gridCol w:w="363"/>
        <w:gridCol w:w="586"/>
        <w:gridCol w:w="1430"/>
        <w:gridCol w:w="935"/>
        <w:gridCol w:w="935"/>
        <w:gridCol w:w="935"/>
        <w:gridCol w:w="894"/>
        <w:gridCol w:w="783"/>
      </w:tblGrid>
      <w:tr w:rsidR="0001085D" w:rsidRPr="0001085D" w:rsidTr="00E169E4">
        <w:trPr>
          <w:cantSplit/>
        </w:trPr>
        <w:tc>
          <w:tcPr>
            <w:tcW w:w="491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8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</w:p>
        </w:tc>
        <w:tc>
          <w:tcPr>
            <w:tcW w:w="1982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Назив предмета </w:t>
            </w:r>
          </w:p>
        </w:tc>
        <w:tc>
          <w:tcPr>
            <w:tcW w:w="363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86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Тип</w:t>
            </w:r>
            <w:proofErr w:type="spellEnd"/>
          </w:p>
        </w:tc>
        <w:tc>
          <w:tcPr>
            <w:tcW w:w="1430" w:type="dxa"/>
            <w:vMerge w:val="restart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05" w:type="dxa"/>
            <w:gridSpan w:val="3"/>
          </w:tcPr>
          <w:p w:rsidR="0001085D" w:rsidRPr="0001085D" w:rsidRDefault="0001085D" w:rsidP="00E16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Часови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активне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Остали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часови</w:t>
            </w:r>
            <w:proofErr w:type="spellEnd"/>
          </w:p>
        </w:tc>
        <w:tc>
          <w:tcPr>
            <w:tcW w:w="78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ЕСПБ</w:t>
            </w:r>
          </w:p>
        </w:tc>
      </w:tr>
      <w:tr w:rsidR="0001085D" w:rsidRPr="0001085D" w:rsidTr="00E169E4">
        <w:trPr>
          <w:cantSplit/>
          <w:trHeight w:val="250"/>
        </w:trPr>
        <w:tc>
          <w:tcPr>
            <w:tcW w:w="491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30" w:type="dxa"/>
            <w:vMerge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ДОН</w:t>
            </w: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085D" w:rsidRPr="0001085D" w:rsidTr="00E169E4">
        <w:trPr>
          <w:trHeight w:val="303"/>
        </w:trPr>
        <w:tc>
          <w:tcPr>
            <w:tcW w:w="9772" w:type="dxa"/>
            <w:gridSpan w:val="11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ЧЕТВРТА ГОДИНА</w:t>
            </w:r>
          </w:p>
        </w:tc>
      </w:tr>
      <w:tr w:rsidR="0001085D" w:rsidRPr="0001085D" w:rsidTr="00E169E4">
        <w:trPr>
          <w:cantSplit/>
        </w:trPr>
        <w:tc>
          <w:tcPr>
            <w:tcW w:w="3860" w:type="dxa"/>
            <w:gridSpan w:val="5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Изборни </w:t>
            </w:r>
          </w:p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блок Б</w:t>
            </w:r>
          </w:p>
        </w:tc>
        <w:tc>
          <w:tcPr>
            <w:tcW w:w="4482" w:type="dxa"/>
            <w:gridSpan w:val="5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Педагогија</w:t>
            </w:r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Истраживања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педагогији</w:t>
            </w:r>
            <w:proofErr w:type="spellEnd"/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Теорије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моралног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васпитања</w:t>
            </w:r>
            <w:proofErr w:type="spellEnd"/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Породична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педагогија</w:t>
            </w:r>
            <w:proofErr w:type="spellEnd"/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3860" w:type="dxa"/>
            <w:gridSpan w:val="5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Изборни </w:t>
            </w:r>
          </w:p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Блок В</w:t>
            </w:r>
          </w:p>
        </w:tc>
        <w:tc>
          <w:tcPr>
            <w:tcW w:w="4482" w:type="dxa"/>
            <w:gridSpan w:val="5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Психологија</w:t>
            </w:r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Психологија личности</w:t>
            </w:r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  <w:tr w:rsidR="0001085D" w:rsidRPr="0001085D" w:rsidTr="00E169E4">
        <w:tc>
          <w:tcPr>
            <w:tcW w:w="491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8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Невербална комуникација</w:t>
            </w:r>
          </w:p>
        </w:tc>
        <w:tc>
          <w:tcPr>
            <w:tcW w:w="36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86" w:type="dxa"/>
          </w:tcPr>
          <w:p w:rsidR="0001085D" w:rsidRPr="0001085D" w:rsidRDefault="0001085D" w:rsidP="00E16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8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АО</w:t>
            </w:r>
          </w:p>
        </w:tc>
        <w:tc>
          <w:tcPr>
            <w:tcW w:w="1430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01085D" w:rsidRPr="0001085D" w:rsidTr="00E169E4">
        <w:tc>
          <w:tcPr>
            <w:tcW w:w="5290" w:type="dxa"/>
            <w:gridSpan w:val="6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21-23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23-29</w:t>
            </w:r>
          </w:p>
        </w:tc>
        <w:tc>
          <w:tcPr>
            <w:tcW w:w="935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>Укупно</w:t>
            </w:r>
            <w:proofErr w:type="spellEnd"/>
            <w:r w:rsidRPr="00010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= 44-52</w:t>
            </w: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01085D" w:rsidRPr="00F84826" w:rsidRDefault="0001085D" w:rsidP="000108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4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64-72</w:t>
            </w:r>
          </w:p>
        </w:tc>
      </w:tr>
      <w:tr w:rsidR="0001085D" w:rsidRPr="0001085D" w:rsidTr="00E169E4">
        <w:tc>
          <w:tcPr>
            <w:tcW w:w="5290" w:type="dxa"/>
            <w:gridSpan w:val="6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5" w:type="dxa"/>
            <w:gridSpan w:val="3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1085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Укупно часова активне наставе у свим годинама студија  = 204-228</w:t>
            </w:r>
          </w:p>
        </w:tc>
        <w:tc>
          <w:tcPr>
            <w:tcW w:w="894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83" w:type="dxa"/>
          </w:tcPr>
          <w:p w:rsidR="0001085D" w:rsidRPr="0001085D" w:rsidRDefault="0001085D" w:rsidP="00E169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</w:p>
        </w:tc>
      </w:tr>
    </w:tbl>
    <w:p w:rsidR="0001085D" w:rsidRDefault="0001085D" w:rsidP="0001085D">
      <w:pPr>
        <w:rPr>
          <w:rFonts w:ascii="Times New Roman" w:hAnsi="Times New Roman" w:cs="Times New Roman"/>
          <w:sz w:val="24"/>
          <w:szCs w:val="24"/>
        </w:rPr>
      </w:pPr>
    </w:p>
    <w:p w:rsidR="00FA0201" w:rsidRDefault="00FA0201" w:rsidP="005016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прилогу је предлог </w:t>
      </w:r>
      <w:r w:rsidR="005016A7">
        <w:rPr>
          <w:rFonts w:ascii="Times New Roman" w:hAnsi="Times New Roman" w:cs="Times New Roman"/>
          <w:sz w:val="24"/>
          <w:szCs w:val="24"/>
        </w:rPr>
        <w:t xml:space="preserve">комплетне </w:t>
      </w:r>
      <w:r>
        <w:rPr>
          <w:rFonts w:ascii="Times New Roman" w:hAnsi="Times New Roman" w:cs="Times New Roman"/>
          <w:sz w:val="24"/>
          <w:szCs w:val="24"/>
        </w:rPr>
        <w:t xml:space="preserve">кориговане верзије </w:t>
      </w:r>
      <w:r w:rsidR="0001085D">
        <w:rPr>
          <w:rFonts w:ascii="Times New Roman" w:hAnsi="Times New Roman" w:cs="Times New Roman"/>
          <w:sz w:val="24"/>
          <w:szCs w:val="24"/>
        </w:rPr>
        <w:t xml:space="preserve">структуре </w:t>
      </w:r>
      <w:r>
        <w:rPr>
          <w:rFonts w:ascii="Times New Roman" w:hAnsi="Times New Roman" w:cs="Times New Roman"/>
          <w:sz w:val="24"/>
          <w:szCs w:val="24"/>
        </w:rPr>
        <w:t>студијског програма</w:t>
      </w:r>
      <w:r w:rsidR="0001085D">
        <w:rPr>
          <w:rFonts w:ascii="Times New Roman" w:hAnsi="Times New Roman" w:cs="Times New Roman"/>
          <w:sz w:val="24"/>
          <w:szCs w:val="24"/>
        </w:rPr>
        <w:t xml:space="preserve"> – нова табела 5.1. као и предложене нове верзије табела 5.2. за сваки од релевантних предмета (Прилог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826" w:rsidRDefault="00F84826" w:rsidP="0001085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15BD6" w:rsidRPr="0001085D" w:rsidRDefault="0001085D" w:rsidP="000108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85D">
        <w:rPr>
          <w:rFonts w:ascii="Times New Roman" w:hAnsi="Times New Roman" w:cs="Times New Roman"/>
          <w:b/>
          <w:sz w:val="24"/>
          <w:szCs w:val="24"/>
        </w:rPr>
        <w:t>ОБРАЗЛОЖЕЊЕ</w:t>
      </w:r>
    </w:p>
    <w:p w:rsidR="009F7783" w:rsidRDefault="00A87298" w:rsidP="00495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Ову корекциј</w:t>
      </w:r>
      <w:r w:rsidR="009F7783">
        <w:rPr>
          <w:rFonts w:ascii="Times New Roman" w:hAnsi="Times New Roman" w:cs="Times New Roman"/>
          <w:sz w:val="24"/>
          <w:szCs w:val="24"/>
        </w:rPr>
        <w:t xml:space="preserve">а могућа је </w:t>
      </w:r>
      <w:r>
        <w:rPr>
          <w:rFonts w:ascii="Times New Roman" w:hAnsi="Times New Roman" w:cs="Times New Roman"/>
          <w:sz w:val="24"/>
          <w:szCs w:val="24"/>
        </w:rPr>
        <w:t>на основу члан</w:t>
      </w:r>
      <w:r w:rsidR="005059F1">
        <w:rPr>
          <w:rFonts w:ascii="Times New Roman" w:hAnsi="Times New Roman" w:cs="Times New Roman"/>
          <w:sz w:val="24"/>
          <w:szCs w:val="24"/>
        </w:rPr>
        <w:t>ова 6, 7, 81, и, нарочито, 130</w:t>
      </w:r>
      <w:r w:rsidR="009F7783">
        <w:rPr>
          <w:rFonts w:ascii="Times New Roman" w:hAnsi="Times New Roman" w:cs="Times New Roman"/>
          <w:sz w:val="24"/>
          <w:szCs w:val="24"/>
        </w:rPr>
        <w:t>.</w:t>
      </w:r>
      <w:r w:rsidR="005059F1">
        <w:rPr>
          <w:rFonts w:ascii="Times New Roman" w:hAnsi="Times New Roman" w:cs="Times New Roman"/>
          <w:sz w:val="24"/>
          <w:szCs w:val="24"/>
        </w:rPr>
        <w:t xml:space="preserve"> Статута Филозофског факултета</w:t>
      </w:r>
      <w:r w:rsidR="0001085D">
        <w:rPr>
          <w:rFonts w:ascii="Times New Roman" w:hAnsi="Times New Roman" w:cs="Times New Roman"/>
          <w:sz w:val="24"/>
          <w:szCs w:val="24"/>
        </w:rPr>
        <w:t xml:space="preserve"> у Нишу </w:t>
      </w:r>
      <w:r w:rsidR="00495E03">
        <w:rPr>
          <w:rFonts w:ascii="Times New Roman" w:hAnsi="Times New Roman" w:cs="Times New Roman"/>
          <w:sz w:val="24"/>
          <w:szCs w:val="24"/>
        </w:rPr>
        <w:t xml:space="preserve"> (Прилог 2), који предвиђају да Факултет има право на утврђивање и корекцију студијског програма. </w:t>
      </w:r>
    </w:p>
    <w:p w:rsidR="00215BD6" w:rsidRDefault="00495E03" w:rsidP="00495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Такође, Веће департмана за англистику је на становишту да, у складу са чланом 139. Статута Универзитета у Нишу (став 3), студенти имају права да активно учествују у доношењу одлука које су у складу са Законом, као и право (став 2) на тачно и</w:t>
      </w:r>
      <w:r w:rsidR="005016A7">
        <w:rPr>
          <w:rFonts w:ascii="Times New Roman" w:hAnsi="Times New Roman" w:cs="Times New Roman"/>
          <w:sz w:val="24"/>
          <w:szCs w:val="24"/>
        </w:rPr>
        <w:t xml:space="preserve"> </w:t>
      </w:r>
      <w:r w:rsidRPr="005016A7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лаговремено информисање о свим питањима која се односе на студије.</w:t>
      </w:r>
    </w:p>
    <w:p w:rsidR="007302B6" w:rsidRPr="00495E03" w:rsidRDefault="009F7783" w:rsidP="009F77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Измена коју предлажемо неопходна је и на основу </w:t>
      </w:r>
      <w:r w:rsidR="00627FF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андарда 11</w:t>
      </w:r>
      <w:r w:rsidR="00627F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акредитацију студијских програма</w:t>
      </w:r>
      <w:r w:rsidR="00627F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A69">
        <w:rPr>
          <w:rFonts w:ascii="Times New Roman" w:hAnsi="Times New Roman" w:cs="Times New Roman"/>
          <w:sz w:val="24"/>
          <w:szCs w:val="24"/>
        </w:rPr>
        <w:t>који се тиче квалитета студијског програма</w:t>
      </w:r>
      <w:r w:rsidR="00A70A69" w:rsidRPr="00495E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302B6" w:rsidRPr="00495E03">
        <w:rPr>
          <w:rFonts w:ascii="Times New Roman" w:hAnsi="Times New Roman" w:cs="Times New Roman"/>
          <w:sz w:val="24"/>
          <w:szCs w:val="24"/>
        </w:rPr>
        <w:t>Стандард 11. Контрола квалитета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A70A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7FFB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којим се налаже да се контрола квалитета студијског програма </w:t>
      </w:r>
      <w:r w:rsidR="00A70A6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спроводи редовно и систематично</w:t>
      </w:r>
      <w:r w:rsidR="00A70A6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путем самовредновања</w:t>
      </w:r>
      <w:r w:rsidR="00A70A69">
        <w:rPr>
          <w:rFonts w:ascii="Times New Roman" w:hAnsi="Times New Roman" w:cs="Times New Roman"/>
          <w:sz w:val="24"/>
          <w:szCs w:val="24"/>
        </w:rPr>
        <w:t xml:space="preserve">, у складу са </w:t>
      </w:r>
      <w:r>
        <w:rPr>
          <w:rFonts w:ascii="Times New Roman" w:hAnsi="Times New Roman" w:cs="Times New Roman"/>
          <w:sz w:val="24"/>
          <w:szCs w:val="24"/>
        </w:rPr>
        <w:t>Стандард</w:t>
      </w:r>
      <w:r w:rsidR="00A70A69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A70A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самовредновање високошкослисх установа,</w:t>
      </w:r>
      <w:r w:rsidR="007302B6" w:rsidRPr="00495E03">
        <w:rPr>
          <w:rFonts w:ascii="Times New Roman" w:hAnsi="Times New Roman" w:cs="Times New Roman"/>
          <w:sz w:val="24"/>
          <w:szCs w:val="24"/>
        </w:rPr>
        <w:t xml:space="preserve"> </w:t>
      </w:r>
      <w:r w:rsidR="00A70A69">
        <w:rPr>
          <w:rFonts w:ascii="Times New Roman" w:hAnsi="Times New Roman" w:cs="Times New Roman"/>
          <w:sz w:val="24"/>
          <w:szCs w:val="24"/>
        </w:rPr>
        <w:t>који налаже следеће:</w:t>
      </w:r>
      <w:r w:rsidR="007302B6" w:rsidRPr="00495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2B6" w:rsidRPr="00215BD6" w:rsidRDefault="00A70A69" w:rsidP="009F77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783">
        <w:rPr>
          <w:rFonts w:ascii="Times New Roman" w:hAnsi="Times New Roman" w:cs="Times New Roman"/>
          <w:sz w:val="24"/>
          <w:szCs w:val="24"/>
        </w:rPr>
        <w:t>„</w:t>
      </w:r>
      <w:r w:rsidR="007302B6" w:rsidRPr="00215BD6">
        <w:rPr>
          <w:rFonts w:ascii="Times New Roman" w:hAnsi="Times New Roman" w:cs="Times New Roman"/>
          <w:sz w:val="24"/>
          <w:szCs w:val="24"/>
        </w:rPr>
        <w:t xml:space="preserve">Квалитет студијског програма обезбеђује се кроз праћење и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проверу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његових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структуре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радног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оптерећења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студената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осавремењивање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</w:rPr>
        <w:t>стално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прикупљање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информација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о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квалитету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програма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од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од</w:t>
      </w:r>
      <w:proofErr w:type="spellEnd"/>
      <w:r w:rsidR="007302B6" w:rsidRPr="00A70A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говарајућих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>организација</w:t>
      </w:r>
      <w:proofErr w:type="spellEnd"/>
      <w:r w:rsidR="007302B6" w:rsidRPr="00215BD6">
        <w:rPr>
          <w:rFonts w:ascii="Times New Roman" w:hAnsi="Times New Roman" w:cs="Times New Roman"/>
          <w:sz w:val="24"/>
          <w:szCs w:val="24"/>
          <w:u w:val="single"/>
        </w:rPr>
        <w:t xml:space="preserve"> из окружења</w:t>
      </w:r>
      <w:r w:rsidR="007302B6" w:rsidRPr="00215BD6">
        <w:rPr>
          <w:rFonts w:ascii="Times New Roman" w:hAnsi="Times New Roman" w:cs="Times New Roman"/>
          <w:sz w:val="24"/>
          <w:szCs w:val="24"/>
        </w:rPr>
        <w:t>.</w:t>
      </w:r>
      <w:r w:rsidR="009F7783">
        <w:rPr>
          <w:rFonts w:ascii="Times New Roman" w:hAnsi="Times New Roman" w:cs="Times New Roman"/>
          <w:sz w:val="24"/>
          <w:szCs w:val="24"/>
        </w:rPr>
        <w:t>“</w:t>
      </w:r>
    </w:p>
    <w:p w:rsidR="00A70A69" w:rsidRDefault="00A87298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Корекција</w:t>
      </w:r>
      <w:r w:rsidR="00495E03">
        <w:rPr>
          <w:rFonts w:ascii="Times New Roman" w:hAnsi="Times New Roman" w:cs="Times New Roman"/>
          <w:sz w:val="24"/>
          <w:szCs w:val="24"/>
        </w:rPr>
        <w:t xml:space="preserve"> коју предлажемо тиче се нарочито </w:t>
      </w:r>
      <w:r w:rsidR="00495E03" w:rsidRPr="00A70A69">
        <w:rPr>
          <w:rFonts w:ascii="Times New Roman" w:hAnsi="Times New Roman" w:cs="Times New Roman"/>
          <w:b/>
          <w:sz w:val="24"/>
          <w:szCs w:val="24"/>
        </w:rPr>
        <w:t>Стандарда 4</w:t>
      </w:r>
      <w:r w:rsidR="00A70A69">
        <w:rPr>
          <w:rFonts w:ascii="Times New Roman" w:hAnsi="Times New Roman" w:cs="Times New Roman"/>
          <w:b/>
          <w:sz w:val="24"/>
          <w:szCs w:val="24"/>
        </w:rPr>
        <w:t>.</w:t>
      </w:r>
      <w:r w:rsidR="00495E03" w:rsidRPr="00A70A69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495E03">
        <w:rPr>
          <w:rFonts w:ascii="Times New Roman" w:hAnsi="Times New Roman" w:cs="Times New Roman"/>
          <w:sz w:val="24"/>
          <w:szCs w:val="24"/>
        </w:rPr>
        <w:t>а акредитацију студијског програма (</w:t>
      </w:r>
      <w:r w:rsidRPr="00495E03">
        <w:rPr>
          <w:rFonts w:ascii="Times New Roman" w:hAnsi="Times New Roman" w:cs="Times New Roman"/>
          <w:sz w:val="24"/>
          <w:szCs w:val="24"/>
        </w:rPr>
        <w:t>Стандард 4. Компетенције дипломираних студената</w:t>
      </w:r>
      <w:r w:rsidR="00495E03">
        <w:rPr>
          <w:rFonts w:ascii="Times New Roman" w:hAnsi="Times New Roman" w:cs="Times New Roman"/>
          <w:sz w:val="24"/>
          <w:szCs w:val="24"/>
        </w:rPr>
        <w:t>). У акредитованом студијском програму ОАС Англистика утврђено је да студенти стичу све компетенције које их оспособљавају да раде као наставници енглеског језика на свим нивоима образовања</w:t>
      </w:r>
      <w:r w:rsidR="00A70A69">
        <w:rPr>
          <w:rFonts w:ascii="Times New Roman" w:hAnsi="Times New Roman" w:cs="Times New Roman"/>
          <w:sz w:val="24"/>
          <w:szCs w:val="24"/>
        </w:rPr>
        <w:t>, што студијски програм ОАС англистике суштински обезбеђује</w:t>
      </w:r>
      <w:r w:rsidR="00495E03">
        <w:rPr>
          <w:rFonts w:ascii="Times New Roman" w:hAnsi="Times New Roman" w:cs="Times New Roman"/>
          <w:sz w:val="24"/>
          <w:szCs w:val="24"/>
        </w:rPr>
        <w:t xml:space="preserve">. </w:t>
      </w:r>
      <w:r w:rsidR="005016A7">
        <w:rPr>
          <w:rFonts w:ascii="Times New Roman" w:hAnsi="Times New Roman" w:cs="Times New Roman"/>
          <w:sz w:val="24"/>
          <w:szCs w:val="24"/>
        </w:rPr>
        <w:t>Напомињемо да студијски програм ОАС англистике има обим исказан ЕСП</w:t>
      </w:r>
      <w:r w:rsidR="00CB32EC">
        <w:rPr>
          <w:rFonts w:ascii="Times New Roman" w:hAnsi="Times New Roman" w:cs="Times New Roman"/>
          <w:sz w:val="24"/>
          <w:szCs w:val="24"/>
        </w:rPr>
        <w:t>Б</w:t>
      </w:r>
      <w:r w:rsidR="005016A7">
        <w:rPr>
          <w:rFonts w:ascii="Times New Roman" w:hAnsi="Times New Roman" w:cs="Times New Roman"/>
          <w:sz w:val="24"/>
          <w:szCs w:val="24"/>
        </w:rPr>
        <w:t xml:space="preserve"> бодовима који је знатно већи од минималног обима од 240 ЕСПБ. Наиме, дипломирани студенти ОАС англистика остварили су од 256 до 264 ЕСПБ бодова, а од тога знатан број предмета има садржаје који обезбеђују управо стицање методичких, педагошких и прихолошких компетенција (Прилог 3 – листа  ППМ предмета на ОАС англистика).</w:t>
      </w:r>
    </w:p>
    <w:p w:rsidR="000E460F" w:rsidRDefault="00A70A69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Међутим, доношењем новог </w:t>
      </w:r>
      <w:r w:rsidRPr="00A70A69">
        <w:rPr>
          <w:rFonts w:ascii="Times New Roman" w:hAnsi="Times New Roman" w:cs="Times New Roman"/>
          <w:i/>
          <w:sz w:val="24"/>
          <w:szCs w:val="24"/>
        </w:rPr>
        <w:t>Закона о основама система образовања и васпитања</w:t>
      </w:r>
      <w:r>
        <w:rPr>
          <w:rFonts w:ascii="Times New Roman" w:hAnsi="Times New Roman" w:cs="Times New Roman"/>
          <w:sz w:val="24"/>
          <w:szCs w:val="24"/>
        </w:rPr>
        <w:t xml:space="preserve"> од 29.9.2017. године („Сл. гл РС“ 88/2017) могућност запошњавања дипломираних студената англистике у образовном систему укинута је без обзира на њихове суштинске компетенције</w:t>
      </w:r>
      <w:r w:rsidR="00CB32EC">
        <w:rPr>
          <w:rFonts w:ascii="Times New Roman" w:hAnsi="Times New Roman" w:cs="Times New Roman"/>
          <w:sz w:val="24"/>
          <w:szCs w:val="24"/>
        </w:rPr>
        <w:t xml:space="preserve"> и обим и квалитет студијског</w:t>
      </w:r>
      <w:r>
        <w:rPr>
          <w:rFonts w:ascii="Times New Roman" w:hAnsi="Times New Roman" w:cs="Times New Roman"/>
          <w:sz w:val="24"/>
          <w:szCs w:val="24"/>
        </w:rPr>
        <w:t xml:space="preserve"> програм</w:t>
      </w:r>
      <w:r w:rsidR="00CB32E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 коме стичу врло широко методичко, педагошко и психолошко образовање за ту професионалну делатаност. Наиме, чаном 142. </w:t>
      </w:r>
      <w:r w:rsidRPr="00CB32EC">
        <w:rPr>
          <w:rFonts w:ascii="Times New Roman" w:hAnsi="Times New Roman" w:cs="Times New Roman"/>
          <w:i/>
          <w:sz w:val="24"/>
          <w:szCs w:val="24"/>
        </w:rPr>
        <w:t>Закона о основама система образовања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460F">
        <w:rPr>
          <w:rFonts w:ascii="Times New Roman" w:hAnsi="Times New Roman" w:cs="Times New Roman"/>
          <w:sz w:val="24"/>
          <w:szCs w:val="24"/>
        </w:rPr>
        <w:t>налаже се да образовање наставника мора да обухвата најмање 30 ЕСПБ бодова, „од којих намање по 6 бодова из прихолошких, педагошких и методичких дисциплина“.</w:t>
      </w:r>
      <w:r w:rsidR="00CB32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Студенти англистике уписани на студијски програм акредитован 2014.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 овим изменама доведени у неравноправан положај, будући 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84826">
        <w:rPr>
          <w:rFonts w:ascii="Times New Roman" w:hAnsi="Times New Roman" w:cs="Times New Roman"/>
          <w:sz w:val="24"/>
          <w:szCs w:val="24"/>
          <w:lang w:val="sr-Cyrl-CS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тојао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2EC">
        <w:rPr>
          <w:rFonts w:ascii="Times New Roman" w:hAnsi="Times New Roman" w:cs="Times New Roman"/>
          <w:i/>
          <w:sz w:val="24"/>
          <w:szCs w:val="24"/>
        </w:rPr>
        <w:t>Закону</w:t>
      </w:r>
      <w:proofErr w:type="spellEnd"/>
      <w:r w:rsidRPr="00CB32EC">
        <w:rPr>
          <w:rFonts w:ascii="Times New Roman" w:hAnsi="Times New Roman" w:cs="Times New Roman"/>
          <w:i/>
          <w:sz w:val="24"/>
          <w:szCs w:val="24"/>
        </w:rPr>
        <w:t xml:space="preserve"> о основама система образовања и васпитања</w:t>
      </w:r>
      <w:r>
        <w:rPr>
          <w:rFonts w:ascii="Times New Roman" w:hAnsi="Times New Roman" w:cs="Times New Roman"/>
          <w:sz w:val="24"/>
          <w:szCs w:val="24"/>
        </w:rPr>
        <w:t>. Студијски програм англистике акредитован 2014. гдине у потпуности је био усклађен са законским прописима који су важили до 2017. године, и у том смислу обезбеђивао студентима могућност запошљавања на основу стечених професионалних компетенција, ка</w:t>
      </w:r>
      <w:r w:rsidR="00CB32E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 је предвиђено релевантним стандардима за акредитацију студијског програма.</w:t>
      </w: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Веће департмана за англистику стога је на становишту да је предложена корекција од 1 ЕСПБ кредита на предметима из области психологије и педагогије најбољи начин да се исправи несклад између суштинских компетенција које студенти стичу и формалног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захтева унетог у нови </w:t>
      </w:r>
      <w:r w:rsidRPr="00627FFB">
        <w:rPr>
          <w:rFonts w:ascii="Times New Roman" w:hAnsi="Times New Roman" w:cs="Times New Roman"/>
          <w:i/>
          <w:sz w:val="24"/>
          <w:szCs w:val="24"/>
        </w:rPr>
        <w:t>Закон</w:t>
      </w:r>
      <w:r w:rsidR="00CB32EC" w:rsidRPr="00627FFB">
        <w:rPr>
          <w:rFonts w:ascii="Times New Roman" w:hAnsi="Times New Roman" w:cs="Times New Roman"/>
          <w:i/>
          <w:sz w:val="24"/>
          <w:szCs w:val="24"/>
        </w:rPr>
        <w:t xml:space="preserve"> о основама система образовања и васпитања</w:t>
      </w:r>
      <w:r w:rsidR="00CB32EC">
        <w:rPr>
          <w:rFonts w:ascii="Times New Roman" w:hAnsi="Times New Roman" w:cs="Times New Roman"/>
          <w:sz w:val="24"/>
          <w:szCs w:val="24"/>
        </w:rPr>
        <w:t xml:space="preserve"> 29. септембра 2017. године</w:t>
      </w:r>
      <w:r>
        <w:rPr>
          <w:rFonts w:ascii="Times New Roman" w:hAnsi="Times New Roman" w:cs="Times New Roman"/>
          <w:sz w:val="24"/>
          <w:szCs w:val="24"/>
        </w:rPr>
        <w:t xml:space="preserve">. Тиме би се студентима уписаним на студијски програм ОАС </w:t>
      </w:r>
      <w:r w:rsidR="00627FFB">
        <w:rPr>
          <w:rFonts w:ascii="Times New Roman" w:hAnsi="Times New Roman" w:cs="Times New Roman"/>
          <w:sz w:val="24"/>
          <w:szCs w:val="24"/>
        </w:rPr>
        <w:t xml:space="preserve">англистике </w:t>
      </w:r>
      <w:r>
        <w:rPr>
          <w:rFonts w:ascii="Times New Roman" w:hAnsi="Times New Roman" w:cs="Times New Roman"/>
          <w:sz w:val="24"/>
          <w:szCs w:val="24"/>
        </w:rPr>
        <w:t xml:space="preserve">омогућило да студије заврше по условима под којима су га и започели, </w:t>
      </w:r>
      <w:r w:rsidR="00CB32EC">
        <w:rPr>
          <w:rFonts w:ascii="Times New Roman" w:hAnsi="Times New Roman" w:cs="Times New Roman"/>
          <w:sz w:val="24"/>
          <w:szCs w:val="24"/>
        </w:rPr>
        <w:t xml:space="preserve">на шта нас као високошколску установу и обавезује </w:t>
      </w:r>
      <w:r w:rsidRPr="00CB32EC">
        <w:rPr>
          <w:rFonts w:ascii="Times New Roman" w:hAnsi="Times New Roman" w:cs="Times New Roman"/>
          <w:i/>
          <w:sz w:val="24"/>
          <w:szCs w:val="24"/>
        </w:rPr>
        <w:t>Закон о високом образовању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Корекција коју предлажемо минимално мења укупну структуру и садржину студијског програма, и у практичном смислу је врло лако примењива, уз додатне обавезе студената англистике на релевантним изборним предметима, у радном оптерећењу од 1 додатног ЕСП бода, по стурчној процени предметних наставника ових предмета.</w:t>
      </w: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Стога смо уверени да ће Наставно-научно веће Факултета, као и Сенат Универзитета у Нишу подржати наш предлог.</w:t>
      </w:r>
    </w:p>
    <w:p w:rsidR="000E460F" w:rsidRDefault="000E460F" w:rsidP="00F84826">
      <w:pPr>
        <w:rPr>
          <w:rFonts w:ascii="Times New Roman" w:hAnsi="Times New Roman" w:cs="Times New Roman"/>
          <w:sz w:val="24"/>
          <w:szCs w:val="24"/>
        </w:rPr>
      </w:pPr>
    </w:p>
    <w:p w:rsidR="000E460F" w:rsidRDefault="000E460F" w:rsidP="00F84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Нишу, </w:t>
      </w:r>
    </w:p>
    <w:p w:rsidR="00F84826" w:rsidRDefault="00F84826" w:rsidP="00F8482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19.03.2018</w:t>
      </w:r>
      <w:r w:rsidR="000E460F">
        <w:rPr>
          <w:rFonts w:ascii="Times New Roman" w:hAnsi="Times New Roman" w:cs="Times New Roman"/>
          <w:sz w:val="24"/>
          <w:szCs w:val="24"/>
        </w:rPr>
        <w:tab/>
      </w:r>
      <w:r w:rsidR="000E460F">
        <w:rPr>
          <w:rFonts w:ascii="Times New Roman" w:hAnsi="Times New Roman" w:cs="Times New Roman"/>
          <w:sz w:val="24"/>
          <w:szCs w:val="24"/>
        </w:rPr>
        <w:tab/>
      </w:r>
      <w:r w:rsidR="000E460F">
        <w:rPr>
          <w:rFonts w:ascii="Times New Roman" w:hAnsi="Times New Roman" w:cs="Times New Roman"/>
          <w:sz w:val="24"/>
          <w:szCs w:val="24"/>
        </w:rPr>
        <w:tab/>
      </w:r>
      <w:r w:rsidR="000E460F">
        <w:rPr>
          <w:rFonts w:ascii="Times New Roman" w:hAnsi="Times New Roman" w:cs="Times New Roman"/>
          <w:sz w:val="24"/>
          <w:szCs w:val="24"/>
        </w:rPr>
        <w:tab/>
      </w:r>
      <w:r w:rsidR="000E46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:rsidR="00F84826" w:rsidRDefault="00F84826" w:rsidP="00F8482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60F" w:rsidRDefault="000E460F" w:rsidP="00F8482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Управник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</w:p>
    <w:p w:rsidR="00F84826" w:rsidRDefault="00F84826" w:rsidP="00F8482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4826" w:rsidRPr="00F84826" w:rsidRDefault="00F84826" w:rsidP="00F8482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4826" w:rsidRPr="00F84826" w:rsidRDefault="00F84826" w:rsidP="00F8482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60F" w:rsidRDefault="000E460F" w:rsidP="00A70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059F1" w:rsidRDefault="005059F1">
      <w:pPr>
        <w:rPr>
          <w:rFonts w:ascii="Times New Roman" w:hAnsi="Times New Roman" w:cs="Times New Roman"/>
          <w:sz w:val="24"/>
          <w:szCs w:val="24"/>
        </w:rPr>
      </w:pPr>
    </w:p>
    <w:p w:rsidR="000E460F" w:rsidRDefault="000E460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826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релевантник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акредитационих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59F1" w:rsidRPr="000E460F" w:rsidRDefault="000E460F" w:rsidP="00757F60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="00F84826">
        <w:rPr>
          <w:rFonts w:ascii="Times New Roman" w:hAnsi="Times New Roman" w:cs="Times New Roman"/>
          <w:sz w:val="24"/>
          <w:szCs w:val="24"/>
          <w:lang w:val="sr-Cyrl-CS"/>
        </w:rPr>
        <w:t>б</w:t>
      </w:r>
      <w:proofErr w:type="spellStart"/>
      <w:r w:rsidR="005059F1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059F1">
        <w:rPr>
          <w:rFonts w:ascii="Times New Roman" w:hAnsi="Times New Roman" w:cs="Times New Roman"/>
          <w:sz w:val="24"/>
          <w:szCs w:val="24"/>
        </w:rPr>
        <w:t xml:space="preserve"> 5.1.</w:t>
      </w:r>
      <w:proofErr w:type="gramEnd"/>
      <w:r w:rsidR="005059F1">
        <w:rPr>
          <w:rFonts w:ascii="Times New Roman" w:hAnsi="Times New Roman" w:cs="Times New Roman"/>
          <w:sz w:val="24"/>
          <w:szCs w:val="24"/>
        </w:rPr>
        <w:t xml:space="preserve"> </w:t>
      </w:r>
      <w:r w:rsidR="005059F1" w:rsidRPr="000E460F">
        <w:rPr>
          <w:rFonts w:ascii="Times New Roman" w:hAnsi="Times New Roman" w:cs="Times New Roman"/>
          <w:sz w:val="24"/>
          <w:szCs w:val="24"/>
        </w:rPr>
        <w:t>Распоред предмета по семестрима и годинама студија за студиј</w:t>
      </w:r>
      <w:r w:rsidRPr="000E460F">
        <w:rPr>
          <w:rFonts w:ascii="Times New Roman" w:hAnsi="Times New Roman" w:cs="Times New Roman"/>
          <w:sz w:val="24"/>
          <w:szCs w:val="24"/>
        </w:rPr>
        <w:t>ски програм  првог нивоа студи</w:t>
      </w:r>
    </w:p>
    <w:p w:rsidR="005059F1" w:rsidRDefault="005059F1" w:rsidP="00757F6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Табеле 5.</w:t>
      </w:r>
      <w:r w:rsidR="00757F6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460F">
        <w:rPr>
          <w:rFonts w:ascii="Times New Roman" w:hAnsi="Times New Roman" w:cs="Times New Roman"/>
          <w:sz w:val="24"/>
          <w:szCs w:val="24"/>
        </w:rPr>
        <w:t xml:space="preserve">Спецификација  предмета </w:t>
      </w:r>
    </w:p>
    <w:p w:rsidR="00CB32EC" w:rsidRPr="000E460F" w:rsidRDefault="00CB32EC" w:rsidP="00CB32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Прилог </w:t>
      </w:r>
      <w:r w:rsidR="00F84826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листа  ППМ предмета на ОАС англистика</w:t>
      </w:r>
    </w:p>
    <w:sectPr w:rsidR="00CB32EC" w:rsidRPr="000E460F" w:rsidSect="007A1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B070E"/>
    <w:multiLevelType w:val="hybridMultilevel"/>
    <w:tmpl w:val="8AC41F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0201"/>
    <w:rsid w:val="0001085D"/>
    <w:rsid w:val="000E460F"/>
    <w:rsid w:val="00215BD6"/>
    <w:rsid w:val="0023495D"/>
    <w:rsid w:val="00495E03"/>
    <w:rsid w:val="005016A7"/>
    <w:rsid w:val="005059F1"/>
    <w:rsid w:val="00627FFB"/>
    <w:rsid w:val="0067173F"/>
    <w:rsid w:val="007302B6"/>
    <w:rsid w:val="00757F60"/>
    <w:rsid w:val="007A18BF"/>
    <w:rsid w:val="00957DD2"/>
    <w:rsid w:val="009F7783"/>
    <w:rsid w:val="00A70A69"/>
    <w:rsid w:val="00A87298"/>
    <w:rsid w:val="00CB32EC"/>
    <w:rsid w:val="00F84826"/>
    <w:rsid w:val="00FA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8BF"/>
  </w:style>
  <w:style w:type="paragraph" w:styleId="Heading3">
    <w:name w:val="heading 3"/>
    <w:basedOn w:val="Normal"/>
    <w:link w:val="Heading3Char"/>
    <w:uiPriority w:val="9"/>
    <w:qFormat/>
    <w:rsid w:val="00215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15BD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15BD6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15BD6"/>
    <w:rPr>
      <w:i/>
      <w:iCs/>
    </w:rPr>
  </w:style>
  <w:style w:type="character" w:customStyle="1" w:styleId="st">
    <w:name w:val="st"/>
    <w:basedOn w:val="DefaultParagraphFont"/>
    <w:rsid w:val="00215BD6"/>
  </w:style>
  <w:style w:type="character" w:styleId="Emphasis">
    <w:name w:val="Emphasis"/>
    <w:basedOn w:val="DefaultParagraphFont"/>
    <w:uiPriority w:val="20"/>
    <w:qFormat/>
    <w:rsid w:val="00215BD6"/>
    <w:rPr>
      <w:i/>
      <w:iCs/>
    </w:rPr>
  </w:style>
  <w:style w:type="paragraph" w:customStyle="1" w:styleId="Normal3">
    <w:name w:val="Normal3"/>
    <w:basedOn w:val="Normal"/>
    <w:rsid w:val="0050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59F1"/>
    <w:pPr>
      <w:ind w:left="720"/>
      <w:contextualSpacing/>
    </w:pPr>
  </w:style>
  <w:style w:type="paragraph" w:customStyle="1" w:styleId="Default">
    <w:name w:val="Default"/>
    <w:rsid w:val="007302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4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4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name</cp:lastModifiedBy>
  <cp:revision>7</cp:revision>
  <dcterms:created xsi:type="dcterms:W3CDTF">2018-03-14T09:46:00Z</dcterms:created>
  <dcterms:modified xsi:type="dcterms:W3CDTF">2018-03-19T09:06:00Z</dcterms:modified>
</cp:coreProperties>
</file>